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412201616" name="Picture">
</wp:docPr>
                  <a:graphic>
                    <a:graphicData uri="http://schemas.openxmlformats.org/drawingml/2006/picture">
                      <pic:pic>
                        <pic:nvPicPr>
                          <pic:cNvPr id="141220161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890.24.00140 Модернизация систем видеонаблюдения на объектах ПАО «Саратовэнерго»</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9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22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56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4.3.4.  Присвоение баллов заявкам по критерию 3.4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(с учетом значимости) по подкритериям критерия 3.4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сумма баллов по соответствующим подкритериям критерия 3.4;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значимость каждого подкритерия критерия 3.4.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890.24.00140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890.24.00140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890.24.00140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890.24.00140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890.24.00140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886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4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4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8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 ИЛИ в случае отсутствия данного требования в ТЗ</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6" w:name="JR_PAGE_ANCHOR_0_12"/>
            <w:bookmarkEnd w:id="36"/>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